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2B59F4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MCH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 xml:space="preserve">ence in </w:t>
      </w:r>
      <w:r w:rsidR="00A07BB6">
        <w:rPr>
          <w:rFonts w:ascii="Arial" w:hAnsi="Arial" w:cs="Arial"/>
          <w:b/>
          <w:sz w:val="20"/>
          <w:szCs w:val="20"/>
        </w:rPr>
        <w:t xml:space="preserve">separate </w:t>
      </w:r>
      <w:r w:rsidR="00F02E19">
        <w:rPr>
          <w:rFonts w:ascii="Arial" w:hAnsi="Arial" w:cs="Arial"/>
          <w:b/>
          <w:sz w:val="20"/>
          <w:szCs w:val="20"/>
        </w:rPr>
        <w:t>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>2019 year on year</w:t>
      </w:r>
    </w:p>
    <w:p w:rsidR="00125C9D" w:rsidRDefault="00E36A48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B59F4">
        <w:rPr>
          <w:rFonts w:ascii="Arial" w:hAnsi="Arial" w:cs="Arial"/>
          <w:sz w:val="20"/>
          <w:szCs w:val="20"/>
        </w:rPr>
        <w:t>20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2B59F4" w:rsidRPr="002B59F4">
        <w:rPr>
          <w:rFonts w:ascii="Arial" w:hAnsi="Arial" w:cs="Arial"/>
          <w:sz w:val="20"/>
          <w:szCs w:val="20"/>
        </w:rPr>
        <w:t>Masan Consumer Corporation</w:t>
      </w:r>
      <w:r w:rsidR="002B59F4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 </w:t>
      </w:r>
      <w:r w:rsidR="00F02E19">
        <w:rPr>
          <w:rFonts w:ascii="Arial" w:hAnsi="Arial" w:cs="Arial"/>
          <w:sz w:val="20"/>
          <w:szCs w:val="20"/>
        </w:rPr>
        <w:t xml:space="preserve">in </w:t>
      </w:r>
      <w:r w:rsidR="00A07BB6" w:rsidRPr="00A07BB6">
        <w:rPr>
          <w:rFonts w:ascii="Arial" w:hAnsi="Arial" w:cs="Arial"/>
          <w:sz w:val="20"/>
          <w:szCs w:val="20"/>
        </w:rPr>
        <w:t xml:space="preserve">separate </w:t>
      </w:r>
      <w:r w:rsidR="00F02E19">
        <w:rPr>
          <w:rFonts w:ascii="Arial" w:hAnsi="Arial" w:cs="Arial"/>
          <w:sz w:val="20"/>
          <w:szCs w:val="20"/>
        </w:rPr>
        <w:t>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year on year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</w:p>
    <w:p w:rsidR="002B59F4" w:rsidRDefault="002B59F4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Profit after tax (on the</w:t>
      </w:r>
      <w:r w:rsidRPr="002B59F4">
        <w:rPr>
          <w:rFonts w:ascii="Arial" w:hAnsi="Arial" w:cs="Arial"/>
          <w:sz w:val="20"/>
          <w:szCs w:val="20"/>
        </w:rPr>
        <w:t xml:space="preserve"> </w:t>
      </w:r>
      <w:r w:rsidR="00A07BB6">
        <w:rPr>
          <w:rFonts w:ascii="Arial" w:hAnsi="Arial" w:cs="Arial"/>
          <w:sz w:val="20"/>
          <w:szCs w:val="20"/>
        </w:rPr>
        <w:t>separate basis) increased by 48</w:t>
      </w:r>
      <w:r w:rsidRPr="002B59F4">
        <w:rPr>
          <w:rFonts w:ascii="Arial" w:hAnsi="Arial" w:cs="Arial"/>
          <w:sz w:val="20"/>
          <w:szCs w:val="20"/>
        </w:rPr>
        <w:t xml:space="preserve">% compared to the previous year mainly due to the fluctuation of the following </w:t>
      </w:r>
      <w:r>
        <w:rPr>
          <w:rFonts w:ascii="Arial" w:hAnsi="Arial" w:cs="Arial"/>
          <w:sz w:val="20"/>
          <w:szCs w:val="20"/>
        </w:rPr>
        <w:t>indicators</w:t>
      </w:r>
      <w:r w:rsidRPr="002B59F4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1983"/>
        <w:gridCol w:w="1996"/>
        <w:gridCol w:w="1996"/>
        <w:gridCol w:w="1885"/>
        <w:gridCol w:w="1194"/>
      </w:tblGrid>
      <w:tr w:rsidR="002B59F4" w:rsidTr="00901A6A">
        <w:tc>
          <w:tcPr>
            <w:tcW w:w="558" w:type="dxa"/>
            <w:vMerge w:val="restart"/>
          </w:tcPr>
          <w:p w:rsidR="002B59F4" w:rsidRDefault="002B59F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634" w:type="dxa"/>
            <w:vMerge w:val="restart"/>
          </w:tcPr>
          <w:p w:rsidR="002B59F4" w:rsidRDefault="002B59F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1596" w:type="dxa"/>
            <w:vMerge w:val="restart"/>
          </w:tcPr>
          <w:p w:rsidR="002B59F4" w:rsidRDefault="002B59F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2019 (VND)</w:t>
            </w:r>
          </w:p>
        </w:tc>
        <w:tc>
          <w:tcPr>
            <w:tcW w:w="1596" w:type="dxa"/>
            <w:vMerge w:val="restart"/>
          </w:tcPr>
          <w:p w:rsidR="002B59F4" w:rsidRDefault="002B59F4" w:rsidP="002B59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2018 (VND)</w:t>
            </w:r>
          </w:p>
        </w:tc>
        <w:tc>
          <w:tcPr>
            <w:tcW w:w="3192" w:type="dxa"/>
            <w:gridSpan w:val="2"/>
          </w:tcPr>
          <w:p w:rsidR="002B59F4" w:rsidRDefault="002B59F4" w:rsidP="002B59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</w:t>
            </w:r>
          </w:p>
        </w:tc>
      </w:tr>
      <w:tr w:rsidR="002B59F4" w:rsidTr="002B59F4">
        <w:tc>
          <w:tcPr>
            <w:tcW w:w="558" w:type="dxa"/>
            <w:vMerge/>
          </w:tcPr>
          <w:p w:rsidR="002B59F4" w:rsidRDefault="002B59F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2B59F4" w:rsidRDefault="002B59F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2B59F4" w:rsidRDefault="002B59F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2B59F4" w:rsidRDefault="002B59F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2B59F4" w:rsidRDefault="002B59F4" w:rsidP="002B59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(VND)</w:t>
            </w:r>
          </w:p>
        </w:tc>
        <w:tc>
          <w:tcPr>
            <w:tcW w:w="1596" w:type="dxa"/>
          </w:tcPr>
          <w:p w:rsidR="002B59F4" w:rsidRDefault="002B59F4" w:rsidP="002B59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(%)</w:t>
            </w:r>
          </w:p>
        </w:tc>
      </w:tr>
      <w:tr w:rsidR="002B59F4" w:rsidTr="002B59F4">
        <w:tc>
          <w:tcPr>
            <w:tcW w:w="558" w:type="dxa"/>
          </w:tcPr>
          <w:p w:rsidR="002B59F4" w:rsidRDefault="002B59F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34" w:type="dxa"/>
          </w:tcPr>
          <w:p w:rsidR="002B59F4" w:rsidRDefault="002B59F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9F4">
              <w:rPr>
                <w:rFonts w:ascii="Arial" w:hAnsi="Arial" w:cs="Arial"/>
                <w:sz w:val="20"/>
                <w:szCs w:val="20"/>
              </w:rPr>
              <w:t>Net revenue</w:t>
            </w:r>
          </w:p>
        </w:tc>
        <w:tc>
          <w:tcPr>
            <w:tcW w:w="1596" w:type="dxa"/>
          </w:tcPr>
          <w:p w:rsidR="002B59F4" w:rsidRDefault="00A07BB6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B6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025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374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648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1596" w:type="dxa"/>
          </w:tcPr>
          <w:p w:rsidR="002B59F4" w:rsidRDefault="00A07BB6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B6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040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597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979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1596" w:type="dxa"/>
          </w:tcPr>
          <w:p w:rsidR="002B59F4" w:rsidRDefault="00A07BB6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Pr="00A07BB6">
              <w:rPr>
                <w:rFonts w:ascii="Arial" w:hAnsi="Arial" w:cs="Arial"/>
                <w:sz w:val="20"/>
                <w:szCs w:val="20"/>
              </w:rPr>
              <w:t>984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776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669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596" w:type="dxa"/>
          </w:tcPr>
          <w:p w:rsidR="002B59F4" w:rsidRDefault="00A07BB6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B6">
              <w:rPr>
                <w:rFonts w:ascii="Arial" w:hAnsi="Arial" w:cs="Arial"/>
                <w:sz w:val="20"/>
                <w:szCs w:val="20"/>
              </w:rPr>
              <w:t>12%</w:t>
            </w:r>
          </w:p>
        </w:tc>
      </w:tr>
      <w:tr w:rsidR="002B59F4" w:rsidTr="002B59F4">
        <w:tc>
          <w:tcPr>
            <w:tcW w:w="558" w:type="dxa"/>
          </w:tcPr>
          <w:p w:rsidR="002B59F4" w:rsidRDefault="002B59F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4" w:type="dxa"/>
          </w:tcPr>
          <w:p w:rsidR="002B59F4" w:rsidRDefault="008854CF" w:rsidP="00885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B59F4" w:rsidRPr="002B59F4">
              <w:rPr>
                <w:rFonts w:ascii="Arial" w:hAnsi="Arial" w:cs="Arial"/>
                <w:sz w:val="20"/>
                <w:szCs w:val="20"/>
              </w:rPr>
              <w:t xml:space="preserve">rofit </w:t>
            </w:r>
            <w:r>
              <w:rPr>
                <w:rFonts w:ascii="Arial" w:hAnsi="Arial" w:cs="Arial"/>
                <w:sz w:val="20"/>
                <w:szCs w:val="20"/>
              </w:rPr>
              <w:t>before tax</w:t>
            </w:r>
          </w:p>
        </w:tc>
        <w:tc>
          <w:tcPr>
            <w:tcW w:w="1596" w:type="dxa"/>
          </w:tcPr>
          <w:p w:rsidR="002B59F4" w:rsidRDefault="00A07BB6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B6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568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882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596" w:type="dxa"/>
          </w:tcPr>
          <w:p w:rsidR="002B59F4" w:rsidRDefault="00A07BB6" w:rsidP="006754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B6">
              <w:rPr>
                <w:rFonts w:ascii="Arial" w:hAnsi="Arial" w:cs="Arial"/>
                <w:sz w:val="20"/>
                <w:szCs w:val="20"/>
              </w:rPr>
              <w:t>57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180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155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1596" w:type="dxa"/>
          </w:tcPr>
          <w:p w:rsidR="002B59F4" w:rsidRDefault="00A07BB6" w:rsidP="006754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B6">
              <w:rPr>
                <w:rFonts w:ascii="Arial" w:hAnsi="Arial" w:cs="Arial"/>
                <w:sz w:val="20"/>
                <w:szCs w:val="20"/>
              </w:rPr>
              <w:t>(36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611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272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573)</w:t>
            </w:r>
          </w:p>
        </w:tc>
        <w:tc>
          <w:tcPr>
            <w:tcW w:w="1596" w:type="dxa"/>
          </w:tcPr>
          <w:p w:rsidR="002B59F4" w:rsidRDefault="00A07BB6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B6">
              <w:rPr>
                <w:rFonts w:ascii="Arial" w:hAnsi="Arial" w:cs="Arial"/>
                <w:sz w:val="20"/>
                <w:szCs w:val="20"/>
              </w:rPr>
              <w:t>- 64%</w:t>
            </w:r>
          </w:p>
        </w:tc>
      </w:tr>
      <w:tr w:rsidR="00A07BB6" w:rsidTr="002B59F4">
        <w:tc>
          <w:tcPr>
            <w:tcW w:w="558" w:type="dxa"/>
          </w:tcPr>
          <w:p w:rsidR="00A07BB6" w:rsidRDefault="00A07BB6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34" w:type="dxa"/>
          </w:tcPr>
          <w:p w:rsidR="00A07BB6" w:rsidRDefault="00A07BB6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</w:t>
            </w:r>
            <w:r w:rsidRPr="002B59F4">
              <w:rPr>
                <w:rFonts w:ascii="Arial" w:hAnsi="Arial" w:cs="Arial"/>
                <w:sz w:val="20"/>
                <w:szCs w:val="20"/>
              </w:rPr>
              <w:t xml:space="preserve"> income</w:t>
            </w:r>
          </w:p>
        </w:tc>
        <w:tc>
          <w:tcPr>
            <w:tcW w:w="1596" w:type="dxa"/>
          </w:tcPr>
          <w:p w:rsidR="00A07BB6" w:rsidRDefault="00A07BB6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4,056,</w:t>
            </w:r>
            <w:r w:rsidRPr="00A07BB6">
              <w:rPr>
                <w:rFonts w:ascii="Arial" w:hAnsi="Arial" w:cs="Arial"/>
                <w:sz w:val="20"/>
                <w:szCs w:val="20"/>
              </w:rPr>
              <w:t>072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323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596" w:type="dxa"/>
          </w:tcPr>
          <w:p w:rsidR="00A07BB6" w:rsidRDefault="00A07BB6" w:rsidP="00DD2E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Pr="00A07BB6">
              <w:rPr>
                <w:rFonts w:ascii="Arial" w:hAnsi="Arial" w:cs="Arial"/>
                <w:sz w:val="20"/>
                <w:szCs w:val="20"/>
              </w:rPr>
              <w:t>715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509</w:t>
            </w:r>
            <w:r>
              <w:rPr>
                <w:rFonts w:ascii="Arial" w:hAnsi="Arial" w:cs="Arial"/>
                <w:sz w:val="20"/>
                <w:szCs w:val="20"/>
              </w:rPr>
              <w:t>,25</w:t>
            </w:r>
            <w:r w:rsidRPr="00A07BB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,567</w:t>
            </w:r>
          </w:p>
        </w:tc>
        <w:tc>
          <w:tcPr>
            <w:tcW w:w="1596" w:type="dxa"/>
          </w:tcPr>
          <w:p w:rsidR="00A07BB6" w:rsidRDefault="00A07BB6" w:rsidP="00A07B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Pr="00A07BB6">
              <w:rPr>
                <w:rFonts w:ascii="Arial" w:hAnsi="Arial" w:cs="Arial"/>
                <w:sz w:val="20"/>
                <w:szCs w:val="20"/>
              </w:rPr>
              <w:t>340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563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>8,184</w:t>
            </w:r>
          </w:p>
        </w:tc>
        <w:tc>
          <w:tcPr>
            <w:tcW w:w="1596" w:type="dxa"/>
          </w:tcPr>
          <w:p w:rsidR="00A07BB6" w:rsidRDefault="00A07BB6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B6">
              <w:rPr>
                <w:rFonts w:ascii="Arial" w:hAnsi="Arial" w:cs="Arial"/>
                <w:sz w:val="20"/>
                <w:szCs w:val="20"/>
              </w:rPr>
              <w:t>49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07BB6" w:rsidTr="002B59F4">
        <w:tc>
          <w:tcPr>
            <w:tcW w:w="558" w:type="dxa"/>
          </w:tcPr>
          <w:p w:rsidR="00A07BB6" w:rsidRDefault="00A07BB6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34" w:type="dxa"/>
          </w:tcPr>
          <w:p w:rsidR="00A07BB6" w:rsidRDefault="00A07BB6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9F4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1596" w:type="dxa"/>
          </w:tcPr>
          <w:p w:rsidR="00A07BB6" w:rsidRDefault="00A07BB6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B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992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842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678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1596" w:type="dxa"/>
          </w:tcPr>
          <w:p w:rsidR="00A07BB6" w:rsidRDefault="00A07BB6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B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694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743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332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1596" w:type="dxa"/>
          </w:tcPr>
          <w:p w:rsidR="00A07BB6" w:rsidRDefault="00A07BB6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B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298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7BB6">
              <w:rPr>
                <w:rFonts w:ascii="Arial" w:hAnsi="Arial" w:cs="Arial"/>
                <w:sz w:val="20"/>
                <w:szCs w:val="20"/>
              </w:rPr>
              <w:t>099</w:t>
            </w:r>
            <w:r>
              <w:rPr>
                <w:rFonts w:ascii="Arial" w:hAnsi="Arial" w:cs="Arial"/>
                <w:sz w:val="20"/>
                <w:szCs w:val="20"/>
              </w:rPr>
              <w:t>,346,</w:t>
            </w:r>
            <w:r w:rsidRPr="00A07BB6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1596" w:type="dxa"/>
          </w:tcPr>
          <w:p w:rsidR="00A07BB6" w:rsidRDefault="00A07BB6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B6">
              <w:rPr>
                <w:rFonts w:ascii="Arial" w:hAnsi="Arial" w:cs="Arial"/>
                <w:sz w:val="20"/>
                <w:szCs w:val="20"/>
              </w:rPr>
              <w:t>48%</w:t>
            </w:r>
          </w:p>
        </w:tc>
      </w:tr>
    </w:tbl>
    <w:p w:rsidR="002B59F4" w:rsidRDefault="002B59F4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07BB6" w:rsidRDefault="00A07BB6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7BB6">
        <w:rPr>
          <w:rFonts w:ascii="Arial" w:hAnsi="Arial" w:cs="Arial"/>
          <w:sz w:val="20"/>
          <w:szCs w:val="20"/>
        </w:rPr>
        <w:t>The Company's net revenue in 201</w:t>
      </w:r>
      <w:r>
        <w:rPr>
          <w:rFonts w:ascii="Arial" w:hAnsi="Arial" w:cs="Arial"/>
          <w:sz w:val="20"/>
          <w:szCs w:val="20"/>
        </w:rPr>
        <w:t>9 reached VND 19,025 billion, an increase of</w:t>
      </w:r>
      <w:r w:rsidRPr="00A07BB6">
        <w:rPr>
          <w:rFonts w:ascii="Arial" w:hAnsi="Arial" w:cs="Arial"/>
          <w:sz w:val="20"/>
          <w:szCs w:val="20"/>
        </w:rPr>
        <w:t xml:space="preserve"> 12%. However, the </w:t>
      </w:r>
      <w:r>
        <w:rPr>
          <w:rFonts w:ascii="Arial" w:hAnsi="Arial" w:cs="Arial"/>
          <w:sz w:val="20"/>
          <w:szCs w:val="20"/>
        </w:rPr>
        <w:t>profit before tax (excluding the</w:t>
      </w:r>
      <w:r w:rsidRPr="00A07BB6">
        <w:rPr>
          <w:rFonts w:ascii="Arial" w:hAnsi="Arial" w:cs="Arial"/>
          <w:sz w:val="20"/>
          <w:szCs w:val="20"/>
        </w:rPr>
        <w:t xml:space="preserve"> </w:t>
      </w:r>
      <w:r w:rsidRPr="00A07BB6">
        <w:rPr>
          <w:rFonts w:ascii="Arial" w:hAnsi="Arial" w:cs="Arial"/>
          <w:sz w:val="20"/>
          <w:szCs w:val="20"/>
        </w:rPr>
        <w:t>financial</w:t>
      </w:r>
      <w:r w:rsidRPr="00A07BB6">
        <w:rPr>
          <w:rFonts w:ascii="Arial" w:hAnsi="Arial" w:cs="Arial"/>
          <w:sz w:val="20"/>
          <w:szCs w:val="20"/>
        </w:rPr>
        <w:t xml:space="preserve"> income) decreased by 64% due to </w:t>
      </w:r>
      <w:r>
        <w:rPr>
          <w:rFonts w:ascii="Arial" w:hAnsi="Arial" w:cs="Arial"/>
          <w:sz w:val="20"/>
          <w:szCs w:val="20"/>
        </w:rPr>
        <w:t xml:space="preserve">increase in </w:t>
      </w:r>
      <w:r w:rsidRPr="00A07BB6">
        <w:rPr>
          <w:rFonts w:ascii="Arial" w:hAnsi="Arial" w:cs="Arial"/>
          <w:sz w:val="20"/>
          <w:szCs w:val="20"/>
        </w:rPr>
        <w:t>initial expenses</w:t>
      </w:r>
      <w:r>
        <w:rPr>
          <w:rFonts w:ascii="Arial" w:hAnsi="Arial" w:cs="Arial"/>
          <w:sz w:val="20"/>
          <w:szCs w:val="20"/>
        </w:rPr>
        <w:t xml:space="preserve"> compared to the previous year</w:t>
      </w:r>
    </w:p>
    <w:p w:rsidR="00A07BB6" w:rsidRDefault="00A07BB6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A07BB6">
        <w:rPr>
          <w:rFonts w:ascii="Arial" w:hAnsi="Arial" w:cs="Arial"/>
          <w:sz w:val="20"/>
          <w:szCs w:val="20"/>
        </w:rPr>
        <w:t>inancial</w:t>
      </w:r>
      <w:r w:rsidRPr="00A07BB6">
        <w:rPr>
          <w:rFonts w:ascii="Arial" w:hAnsi="Arial" w:cs="Arial"/>
          <w:sz w:val="20"/>
          <w:szCs w:val="20"/>
        </w:rPr>
        <w:t xml:space="preserve"> income in 2019 increased by 49</w:t>
      </w:r>
      <w:r>
        <w:rPr>
          <w:rFonts w:ascii="Arial" w:hAnsi="Arial" w:cs="Arial"/>
          <w:sz w:val="20"/>
          <w:szCs w:val="20"/>
        </w:rPr>
        <w:t>%</w:t>
      </w:r>
      <w:r w:rsidRPr="00A07BB6">
        <w:rPr>
          <w:rFonts w:ascii="Arial" w:hAnsi="Arial" w:cs="Arial"/>
          <w:sz w:val="20"/>
          <w:szCs w:val="20"/>
        </w:rPr>
        <w:t>, mainly due to higher profit distribution from subsidiarie</w:t>
      </w:r>
      <w:r w:rsidR="008904B3">
        <w:rPr>
          <w:rFonts w:ascii="Arial" w:hAnsi="Arial" w:cs="Arial"/>
          <w:sz w:val="20"/>
          <w:szCs w:val="20"/>
        </w:rPr>
        <w:t>s compared to the previous year</w:t>
      </w:r>
      <w:bookmarkStart w:id="0" w:name="_GoBack"/>
      <w:bookmarkEnd w:id="0"/>
    </w:p>
    <w:sectPr w:rsidR="00A07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A79D8"/>
    <w:rsid w:val="00125C9D"/>
    <w:rsid w:val="001654BA"/>
    <w:rsid w:val="0026711C"/>
    <w:rsid w:val="00293FEB"/>
    <w:rsid w:val="002B59F4"/>
    <w:rsid w:val="00303E63"/>
    <w:rsid w:val="00330005"/>
    <w:rsid w:val="003A771E"/>
    <w:rsid w:val="003B2570"/>
    <w:rsid w:val="00467BC0"/>
    <w:rsid w:val="00496733"/>
    <w:rsid w:val="005B0276"/>
    <w:rsid w:val="005E7D00"/>
    <w:rsid w:val="006E13A2"/>
    <w:rsid w:val="00701F46"/>
    <w:rsid w:val="007028B7"/>
    <w:rsid w:val="00745D9A"/>
    <w:rsid w:val="008078B6"/>
    <w:rsid w:val="0088081B"/>
    <w:rsid w:val="008854CF"/>
    <w:rsid w:val="00887C3A"/>
    <w:rsid w:val="008904B3"/>
    <w:rsid w:val="00A07BB6"/>
    <w:rsid w:val="00A62855"/>
    <w:rsid w:val="00A81EB3"/>
    <w:rsid w:val="00AA01BA"/>
    <w:rsid w:val="00AF67BE"/>
    <w:rsid w:val="00B40E78"/>
    <w:rsid w:val="00C72FFB"/>
    <w:rsid w:val="00CA6F06"/>
    <w:rsid w:val="00E36A48"/>
    <w:rsid w:val="00ED31AF"/>
    <w:rsid w:val="00F02E19"/>
    <w:rsid w:val="00F163FC"/>
    <w:rsid w:val="00F655B9"/>
    <w:rsid w:val="00F85153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43</cp:revision>
  <dcterms:created xsi:type="dcterms:W3CDTF">2019-10-16T10:03:00Z</dcterms:created>
  <dcterms:modified xsi:type="dcterms:W3CDTF">2020-04-03T03:53:00Z</dcterms:modified>
</cp:coreProperties>
</file>